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8" w:type="dxa"/>
        <w:tblInd w:w="-106" w:type="dxa"/>
        <w:tblLook w:val="00BF"/>
      </w:tblPr>
      <w:tblGrid>
        <w:gridCol w:w="4042"/>
        <w:gridCol w:w="5386"/>
      </w:tblGrid>
      <w:tr w:rsidR="00505924" w:rsidRPr="0016122F" w:rsidTr="0016122F">
        <w:trPr>
          <w:trHeight w:val="356"/>
        </w:trPr>
        <w:tc>
          <w:tcPr>
            <w:tcW w:w="4042" w:type="dxa"/>
          </w:tcPr>
          <w:p w:rsidR="00505924" w:rsidRPr="0016122F" w:rsidRDefault="00505924" w:rsidP="00E866BD">
            <w:pPr>
              <w:spacing w:line="300" w:lineRule="exact"/>
              <w:jc w:val="center"/>
              <w:rPr>
                <w:rFonts w:ascii="Times New Roman" w:hAnsi="Times New Roman" w:cs="Times New Roman"/>
                <w:b/>
                <w:bCs/>
                <w:sz w:val="24"/>
                <w:szCs w:val="24"/>
                <w:lang w:val="nl-NL"/>
              </w:rPr>
            </w:pPr>
            <w:r w:rsidRPr="0016122F">
              <w:rPr>
                <w:rFonts w:ascii="Times New Roman" w:hAnsi="Times New Roman" w:cs="Times New Roman"/>
                <w:b/>
                <w:bCs/>
                <w:sz w:val="24"/>
                <w:szCs w:val="24"/>
                <w:lang w:val="nl-NL"/>
              </w:rPr>
              <w:t>CÔNG TY CỔ PHẦN</w:t>
            </w:r>
          </w:p>
          <w:p w:rsidR="00505924" w:rsidRDefault="00505924" w:rsidP="00E866BD">
            <w:pPr>
              <w:spacing w:line="300" w:lineRule="exact"/>
              <w:jc w:val="center"/>
              <w:rPr>
                <w:rFonts w:ascii="Times New Roman" w:hAnsi="Times New Roman" w:cs="Times New Roman"/>
                <w:b/>
                <w:bCs/>
                <w:sz w:val="24"/>
                <w:szCs w:val="24"/>
                <w:lang w:val="nl-NL"/>
              </w:rPr>
            </w:pPr>
            <w:r w:rsidRPr="0016122F">
              <w:rPr>
                <w:rFonts w:ascii="Times New Roman" w:hAnsi="Times New Roman" w:cs="Times New Roman"/>
                <w:b/>
                <w:bCs/>
                <w:sz w:val="24"/>
                <w:szCs w:val="24"/>
                <w:lang w:val="nl-NL"/>
              </w:rPr>
              <w:t>CHỨNG KHOÁN PHỐ WALL</w:t>
            </w:r>
          </w:p>
          <w:p w:rsidR="00E866BD" w:rsidRPr="0016122F" w:rsidRDefault="00E866BD" w:rsidP="00E866BD">
            <w:pPr>
              <w:spacing w:line="300" w:lineRule="exact"/>
              <w:jc w:val="center"/>
              <w:rPr>
                <w:rFonts w:ascii="Times New Roman" w:hAnsi="Times New Roman" w:cs="Times New Roman"/>
                <w:sz w:val="24"/>
                <w:szCs w:val="24"/>
                <w:lang w:val="nl-NL"/>
              </w:rPr>
            </w:pPr>
            <w:r w:rsidRPr="0016122F">
              <w:rPr>
                <w:rFonts w:ascii="Times New Roman" w:hAnsi="Times New Roman" w:cs="Times New Roman"/>
                <w:b/>
                <w:bCs/>
                <w:sz w:val="24"/>
                <w:szCs w:val="24"/>
                <w:lang w:val="nl-NL"/>
              </w:rPr>
              <w:t>----------------</w:t>
            </w:r>
          </w:p>
        </w:tc>
        <w:tc>
          <w:tcPr>
            <w:tcW w:w="5386" w:type="dxa"/>
          </w:tcPr>
          <w:p w:rsidR="00505924" w:rsidRDefault="00505924" w:rsidP="00E866BD">
            <w:pPr>
              <w:spacing w:line="300" w:lineRule="exact"/>
              <w:jc w:val="center"/>
              <w:rPr>
                <w:rFonts w:ascii="Times New Roman" w:hAnsi="Times New Roman" w:cs="Times New Roman"/>
                <w:sz w:val="24"/>
                <w:szCs w:val="24"/>
                <w:lang w:val="nl-NL"/>
              </w:rPr>
            </w:pPr>
            <w:r w:rsidRPr="0016122F">
              <w:rPr>
                <w:rFonts w:ascii="Times New Roman" w:hAnsi="Times New Roman" w:cs="Times New Roman"/>
                <w:sz w:val="24"/>
                <w:szCs w:val="24"/>
                <w:lang w:val="nl-NL"/>
              </w:rPr>
              <w:t xml:space="preserve">    CỘNG HÒA XÃ HỘI CHỦ NGHĨA VIỆT NAM</w:t>
            </w:r>
          </w:p>
          <w:p w:rsidR="00E866BD" w:rsidRDefault="00E866BD" w:rsidP="00E866BD">
            <w:pPr>
              <w:spacing w:line="300" w:lineRule="exact"/>
              <w:jc w:val="center"/>
              <w:rPr>
                <w:rFonts w:ascii="Times New Roman" w:hAnsi="Times New Roman" w:cs="Times New Roman"/>
                <w:b/>
                <w:bCs/>
                <w:sz w:val="24"/>
                <w:szCs w:val="24"/>
              </w:rPr>
            </w:pPr>
            <w:r w:rsidRPr="0016122F">
              <w:rPr>
                <w:rFonts w:ascii="Times New Roman" w:hAnsi="Times New Roman" w:cs="Times New Roman"/>
                <w:b/>
                <w:bCs/>
                <w:sz w:val="24"/>
                <w:szCs w:val="24"/>
              </w:rPr>
              <w:t>Độc lập – Tự do – Hạnh phúc</w:t>
            </w:r>
          </w:p>
          <w:p w:rsidR="00E866BD" w:rsidRPr="0016122F" w:rsidRDefault="00E866BD" w:rsidP="00E866BD">
            <w:pPr>
              <w:spacing w:line="300" w:lineRule="exact"/>
              <w:jc w:val="center"/>
              <w:rPr>
                <w:rFonts w:ascii="Times New Roman" w:hAnsi="Times New Roman" w:cs="Times New Roman"/>
                <w:sz w:val="24"/>
                <w:szCs w:val="24"/>
                <w:lang w:val="nl-NL"/>
              </w:rPr>
            </w:pPr>
            <w:r w:rsidRPr="0016122F">
              <w:rPr>
                <w:rFonts w:ascii="Times New Roman" w:hAnsi="Times New Roman" w:cs="Times New Roman"/>
                <w:b/>
                <w:bCs/>
                <w:sz w:val="24"/>
                <w:szCs w:val="24"/>
                <w:lang w:val="nl-NL"/>
              </w:rPr>
              <w:t>-----------o0o-----------</w:t>
            </w:r>
          </w:p>
        </w:tc>
      </w:tr>
      <w:tr w:rsidR="00505924" w:rsidRPr="0016122F" w:rsidTr="0016122F">
        <w:trPr>
          <w:trHeight w:val="1034"/>
        </w:trPr>
        <w:tc>
          <w:tcPr>
            <w:tcW w:w="4042" w:type="dxa"/>
          </w:tcPr>
          <w:p w:rsidR="00505924" w:rsidRPr="0016122F" w:rsidRDefault="0016122F" w:rsidP="00E866BD">
            <w:pPr>
              <w:spacing w:line="300" w:lineRule="exact"/>
              <w:jc w:val="center"/>
              <w:rPr>
                <w:rFonts w:ascii="Times New Roman" w:hAnsi="Times New Roman" w:cs="Times New Roman"/>
                <w:sz w:val="24"/>
                <w:szCs w:val="24"/>
                <w:lang w:val="nl-NL"/>
              </w:rPr>
            </w:pPr>
            <w:r>
              <w:rPr>
                <w:rFonts w:ascii="Times New Roman" w:hAnsi="Times New Roman" w:cs="Times New Roman"/>
                <w:sz w:val="24"/>
                <w:szCs w:val="24"/>
                <w:lang w:val="nl-NL"/>
              </w:rPr>
              <w:t>Số:        CV/TCKT/2012</w:t>
            </w:r>
          </w:p>
          <w:p w:rsidR="00505924" w:rsidRPr="0016122F" w:rsidRDefault="00505924" w:rsidP="00E866BD">
            <w:pPr>
              <w:spacing w:line="300" w:lineRule="exact"/>
              <w:jc w:val="center"/>
              <w:rPr>
                <w:rFonts w:ascii="Times New Roman" w:hAnsi="Times New Roman" w:cs="Times New Roman"/>
                <w:i/>
                <w:iCs/>
                <w:sz w:val="24"/>
                <w:szCs w:val="24"/>
                <w:lang w:val="nl-NL"/>
              </w:rPr>
            </w:pPr>
            <w:r w:rsidRPr="0016122F">
              <w:rPr>
                <w:rFonts w:ascii="Times New Roman" w:hAnsi="Times New Roman" w:cs="Times New Roman"/>
                <w:i/>
                <w:iCs/>
                <w:sz w:val="24"/>
                <w:szCs w:val="24"/>
                <w:lang w:val="nl-NL"/>
              </w:rPr>
              <w:t>“V/v: Báo cáo vốn khả dụng</w:t>
            </w:r>
          </w:p>
          <w:p w:rsidR="00505924" w:rsidRPr="0016122F" w:rsidRDefault="00505924" w:rsidP="00E866BD">
            <w:pPr>
              <w:spacing w:line="300" w:lineRule="exact"/>
              <w:jc w:val="center"/>
              <w:rPr>
                <w:rFonts w:ascii="Times New Roman" w:hAnsi="Times New Roman" w:cs="Times New Roman"/>
                <w:i/>
                <w:iCs/>
                <w:sz w:val="24"/>
                <w:szCs w:val="24"/>
                <w:lang w:val="nl-NL"/>
              </w:rPr>
            </w:pPr>
            <w:r w:rsidRPr="0016122F">
              <w:rPr>
                <w:rFonts w:ascii="Times New Roman" w:hAnsi="Times New Roman" w:cs="Times New Roman"/>
                <w:i/>
                <w:iCs/>
                <w:sz w:val="24"/>
                <w:szCs w:val="24"/>
                <w:lang w:val="nl-NL"/>
              </w:rPr>
              <w:t>được soát xét</w:t>
            </w:r>
            <w:r w:rsidR="0016122F">
              <w:rPr>
                <w:rFonts w:ascii="Times New Roman" w:hAnsi="Times New Roman" w:cs="Times New Roman"/>
                <w:i/>
                <w:iCs/>
                <w:sz w:val="24"/>
                <w:szCs w:val="24"/>
                <w:lang w:val="nl-NL"/>
              </w:rPr>
              <w:t>”</w:t>
            </w:r>
          </w:p>
        </w:tc>
        <w:tc>
          <w:tcPr>
            <w:tcW w:w="5386" w:type="dxa"/>
          </w:tcPr>
          <w:p w:rsidR="00505924" w:rsidRPr="0016122F" w:rsidRDefault="00505924" w:rsidP="00E866BD">
            <w:pPr>
              <w:spacing w:line="300" w:lineRule="exact"/>
              <w:jc w:val="right"/>
              <w:rPr>
                <w:rFonts w:ascii="Times New Roman" w:hAnsi="Times New Roman" w:cs="Times New Roman"/>
                <w:i/>
                <w:iCs/>
                <w:sz w:val="24"/>
                <w:szCs w:val="24"/>
                <w:lang w:val="nl-NL"/>
              </w:rPr>
            </w:pPr>
          </w:p>
          <w:p w:rsidR="00505924" w:rsidRPr="0016122F" w:rsidRDefault="00505924" w:rsidP="00E866BD">
            <w:pPr>
              <w:spacing w:line="300" w:lineRule="exact"/>
              <w:rPr>
                <w:rFonts w:ascii="Times New Roman" w:hAnsi="Times New Roman" w:cs="Times New Roman"/>
                <w:i/>
                <w:iCs/>
                <w:sz w:val="24"/>
                <w:szCs w:val="24"/>
                <w:lang w:val="nl-NL"/>
              </w:rPr>
            </w:pPr>
            <w:r w:rsidRPr="0016122F">
              <w:rPr>
                <w:rFonts w:ascii="Times New Roman" w:hAnsi="Times New Roman" w:cs="Times New Roman"/>
                <w:i/>
                <w:iCs/>
                <w:sz w:val="24"/>
                <w:szCs w:val="24"/>
                <w:lang w:val="nl-NL"/>
              </w:rPr>
              <w:t xml:space="preserve">                         Hà Nội, ngày 06 tháng 09 năm 2012</w:t>
            </w:r>
          </w:p>
        </w:tc>
      </w:tr>
    </w:tbl>
    <w:p w:rsidR="0035576C" w:rsidRDefault="00505924" w:rsidP="00E866BD">
      <w:pPr>
        <w:spacing w:line="300" w:lineRule="exact"/>
        <w:ind w:firstLine="720"/>
        <w:rPr>
          <w:rFonts w:ascii="Times New Roman" w:hAnsi="Times New Roman" w:cs="Times New Roman"/>
          <w:b/>
          <w:bCs/>
          <w:sz w:val="26"/>
          <w:szCs w:val="26"/>
          <w:lang w:val="nl-NL"/>
        </w:rPr>
      </w:pPr>
      <w:r w:rsidRPr="0016122F">
        <w:rPr>
          <w:rFonts w:ascii="Times New Roman" w:hAnsi="Times New Roman" w:cs="Times New Roman"/>
          <w:b/>
          <w:bCs/>
          <w:i/>
          <w:iCs/>
          <w:sz w:val="26"/>
          <w:szCs w:val="26"/>
          <w:u w:val="single"/>
          <w:lang w:val="nl-NL"/>
        </w:rPr>
        <w:t>Kính gửi:</w:t>
      </w:r>
      <w:r w:rsidR="00E866BD">
        <w:rPr>
          <w:rFonts w:ascii="Times New Roman" w:hAnsi="Times New Roman" w:cs="Times New Roman"/>
          <w:b/>
          <w:bCs/>
          <w:sz w:val="26"/>
          <w:szCs w:val="26"/>
          <w:lang w:val="nl-NL"/>
        </w:rPr>
        <w:t xml:space="preserve"> </w:t>
      </w:r>
      <w:r w:rsidR="00E866BD">
        <w:rPr>
          <w:rFonts w:ascii="Times New Roman" w:hAnsi="Times New Roman" w:cs="Times New Roman"/>
          <w:b/>
          <w:bCs/>
          <w:sz w:val="26"/>
          <w:szCs w:val="26"/>
          <w:lang w:val="nl-NL"/>
        </w:rPr>
        <w:tab/>
        <w:t xml:space="preserve">-    </w:t>
      </w:r>
      <w:r w:rsidR="0035576C">
        <w:rPr>
          <w:rFonts w:ascii="Times New Roman" w:hAnsi="Times New Roman" w:cs="Times New Roman"/>
          <w:b/>
          <w:bCs/>
          <w:sz w:val="26"/>
          <w:szCs w:val="26"/>
          <w:lang w:val="nl-NL"/>
        </w:rPr>
        <w:t>Ủy Ban Chứng khoán Nhà nước</w:t>
      </w:r>
    </w:p>
    <w:p w:rsidR="00505924" w:rsidRDefault="00505924" w:rsidP="00E866BD">
      <w:pPr>
        <w:pStyle w:val="ListParagraph"/>
        <w:numPr>
          <w:ilvl w:val="0"/>
          <w:numId w:val="3"/>
        </w:numPr>
        <w:spacing w:line="300" w:lineRule="exact"/>
        <w:rPr>
          <w:rFonts w:ascii="Times New Roman" w:hAnsi="Times New Roman" w:cs="Times New Roman"/>
          <w:b/>
          <w:bCs/>
          <w:sz w:val="26"/>
          <w:szCs w:val="26"/>
          <w:lang w:val="nl-NL"/>
        </w:rPr>
      </w:pPr>
      <w:r w:rsidRPr="00E866BD">
        <w:rPr>
          <w:rFonts w:ascii="Times New Roman" w:hAnsi="Times New Roman" w:cs="Times New Roman"/>
          <w:b/>
          <w:bCs/>
          <w:sz w:val="26"/>
          <w:szCs w:val="26"/>
          <w:lang w:val="nl-NL"/>
        </w:rPr>
        <w:t>Sở giao dịch chứng khoán Hà Nội</w:t>
      </w:r>
    </w:p>
    <w:p w:rsidR="00E866BD" w:rsidRPr="00E866BD" w:rsidRDefault="00E866BD" w:rsidP="00E866BD">
      <w:pPr>
        <w:pStyle w:val="ListParagraph"/>
        <w:numPr>
          <w:ilvl w:val="0"/>
          <w:numId w:val="3"/>
        </w:numPr>
        <w:spacing w:line="300" w:lineRule="exact"/>
        <w:rPr>
          <w:rFonts w:ascii="Times New Roman" w:hAnsi="Times New Roman" w:cs="Times New Roman"/>
          <w:b/>
          <w:bCs/>
          <w:sz w:val="26"/>
          <w:szCs w:val="26"/>
          <w:lang w:val="nl-NL"/>
        </w:rPr>
      </w:pPr>
      <w:r>
        <w:rPr>
          <w:rFonts w:ascii="Times New Roman" w:hAnsi="Times New Roman" w:cs="Times New Roman"/>
          <w:b/>
          <w:bCs/>
          <w:sz w:val="26"/>
          <w:szCs w:val="26"/>
          <w:lang w:val="nl-NL"/>
        </w:rPr>
        <w:t>Sở giao dịch Chứng khoán Hồ Chí Minh</w:t>
      </w:r>
    </w:p>
    <w:p w:rsidR="00505924" w:rsidRPr="0016122F" w:rsidRDefault="00505924" w:rsidP="00E866BD">
      <w:pPr>
        <w:spacing w:line="300" w:lineRule="exact"/>
        <w:jc w:val="center"/>
        <w:rPr>
          <w:rFonts w:ascii="Times New Roman" w:hAnsi="Times New Roman" w:cs="Times New Roman"/>
          <w:sz w:val="26"/>
          <w:szCs w:val="26"/>
          <w:lang w:val="nl-NL"/>
        </w:rPr>
      </w:pPr>
    </w:p>
    <w:p w:rsidR="00142D97" w:rsidRPr="00946DC8" w:rsidRDefault="00946DC8" w:rsidP="00946DC8">
      <w:pPr>
        <w:spacing w:before="120" w:after="120" w:line="360" w:lineRule="auto"/>
        <w:jc w:val="both"/>
        <w:rPr>
          <w:rFonts w:ascii="Times New Roman" w:hAnsi="Times New Roman"/>
          <w:i/>
          <w:sz w:val="26"/>
          <w:szCs w:val="26"/>
          <w:lang w:val="nl-NL"/>
        </w:rPr>
      </w:pPr>
      <w:r>
        <w:rPr>
          <w:rFonts w:ascii="Times New Roman" w:hAnsi="Times New Roman" w:cs="Times New Roman"/>
          <w:sz w:val="26"/>
          <w:szCs w:val="26"/>
          <w:lang w:val="nl-NL"/>
        </w:rPr>
        <w:t xml:space="preserve">Trên cơ sở Báo cáo tài chính 6 tháng và báo cáo tỷ lệ an toàn tài chính 6 tháng đầu năm 2012 đã được soát xét bởi Công ty </w:t>
      </w:r>
      <w:r w:rsidRPr="0016122F">
        <w:rPr>
          <w:rFonts w:ascii="Times New Roman" w:hAnsi="Times New Roman" w:cs="Times New Roman"/>
          <w:sz w:val="26"/>
          <w:szCs w:val="26"/>
          <w:lang w:val="nl-NL"/>
        </w:rPr>
        <w:t>TNHH Dịch vụ Tư vấn Tài chính Kế toán và Kiểm toán (</w:t>
      </w:r>
      <w:r w:rsidRPr="00946DC8">
        <w:rPr>
          <w:rFonts w:ascii="Times New Roman" w:hAnsi="Times New Roman" w:cs="Times New Roman"/>
          <w:sz w:val="26"/>
          <w:szCs w:val="26"/>
          <w:lang w:val="nl-NL"/>
        </w:rPr>
        <w:t xml:space="preserve">AASC). Căn cứ </w:t>
      </w:r>
      <w:r w:rsidRPr="00946DC8">
        <w:rPr>
          <w:rFonts w:ascii="Times New Roman" w:hAnsi="Times New Roman"/>
          <w:sz w:val="26"/>
          <w:szCs w:val="26"/>
          <w:lang w:val="nl-NL"/>
        </w:rPr>
        <w:t>Thông t</w:t>
      </w:r>
      <w:r w:rsidRPr="00946DC8">
        <w:rPr>
          <w:rFonts w:ascii="Times New Roman" w:hAnsi="Times New Roman" w:hint="eastAsia"/>
          <w:sz w:val="26"/>
          <w:szCs w:val="26"/>
          <w:lang w:val="nl-NL"/>
        </w:rPr>
        <w:t>ư</w:t>
      </w:r>
      <w:r w:rsidRPr="00946DC8">
        <w:rPr>
          <w:rFonts w:ascii="Times New Roman" w:hAnsi="Times New Roman"/>
          <w:sz w:val="26"/>
          <w:szCs w:val="26"/>
          <w:lang w:val="nl-NL"/>
        </w:rPr>
        <w:t xml:space="preserve"> số 52/2012/TT-BTC ngày 05/04/2012 của Bộ Tài chính về việc: “H</w:t>
      </w:r>
      <w:r w:rsidRPr="00946DC8">
        <w:rPr>
          <w:rFonts w:ascii="Times New Roman" w:hAnsi="Times New Roman" w:hint="eastAsia"/>
          <w:sz w:val="26"/>
          <w:szCs w:val="26"/>
          <w:lang w:val="nl-NL"/>
        </w:rPr>
        <w:t>ư</w:t>
      </w:r>
      <w:r w:rsidRPr="00946DC8">
        <w:rPr>
          <w:rFonts w:ascii="Times New Roman" w:hAnsi="Times New Roman"/>
          <w:sz w:val="26"/>
          <w:szCs w:val="26"/>
          <w:lang w:val="nl-NL"/>
        </w:rPr>
        <w:t>ớng dẫn công bố thông tin trên thị tr</w:t>
      </w:r>
      <w:r w:rsidRPr="00946DC8">
        <w:rPr>
          <w:rFonts w:ascii="Times New Roman" w:hAnsi="Times New Roman" w:hint="eastAsia"/>
          <w:sz w:val="26"/>
          <w:szCs w:val="26"/>
          <w:lang w:val="nl-NL"/>
        </w:rPr>
        <w:t>ư</w:t>
      </w:r>
      <w:r w:rsidRPr="00946DC8">
        <w:rPr>
          <w:rFonts w:ascii="Times New Roman" w:hAnsi="Times New Roman"/>
          <w:sz w:val="26"/>
          <w:szCs w:val="26"/>
          <w:lang w:val="nl-NL"/>
        </w:rPr>
        <w:t>ờng chứng khoán”.</w:t>
      </w:r>
      <w:r>
        <w:rPr>
          <w:rFonts w:ascii="Times New Roman" w:hAnsi="Times New Roman"/>
          <w:sz w:val="26"/>
          <w:szCs w:val="26"/>
          <w:lang w:val="nl-NL"/>
        </w:rPr>
        <w:t xml:space="preserve"> Công ty chứng khoán Phố Wall xin giải trình ý kiến ngoại trừ của Kiểm toán viên, cụ thể như sau:</w:t>
      </w:r>
    </w:p>
    <w:p w:rsidR="0016122F" w:rsidRDefault="00505924" w:rsidP="00946DC8">
      <w:pPr>
        <w:spacing w:before="120" w:after="120" w:line="360" w:lineRule="auto"/>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Trên Báo cáo có đưa ý kiến ngoại trừ: “Đơn vị đang thực hiện trích lập dự phòng nợ phải thu khó đòi theo tỷ lệ tạm trích 3% trên tổng giá trị hợp đồng hợp tác đầu</w:t>
      </w:r>
      <w:r w:rsidR="004C298A">
        <w:rPr>
          <w:rFonts w:ascii="Times New Roman" w:hAnsi="Times New Roman" w:cs="Times New Roman"/>
          <w:sz w:val="26"/>
          <w:szCs w:val="26"/>
          <w:lang w:val="nl-NL"/>
        </w:rPr>
        <w:t xml:space="preserve"> tư tại thời điểm 30/06/2012”.</w:t>
      </w:r>
    </w:p>
    <w:p w:rsidR="0016122F" w:rsidRDefault="00505924" w:rsidP="00946DC8">
      <w:pPr>
        <w:spacing w:before="120" w:after="120" w:line="360" w:lineRule="auto"/>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 xml:space="preserve">Trong các năm từ 2011, 2012, Công ty Cổ phần Chứng khoán phố Wall (bên A) ký Hợp đồng Hợp tác đầu tư chứng khoán với cá nhân có tài khoản giao dịch chứng khoán tại Công ty Cổ phần Chứng khoán phố Wall (bên B).  </w:t>
      </w:r>
    </w:p>
    <w:p w:rsidR="0016122F" w:rsidRDefault="00505924" w:rsidP="00946DC8">
      <w:pPr>
        <w:spacing w:before="120" w:after="120" w:line="360" w:lineRule="auto"/>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 xml:space="preserve">Căn cứ vào kết quả đầu tư đến 30/06/2012 theo danh mục đầu tư của các nhà đầu tư và để dự phòng cho các tổn thất có thể xảy ra khi kết thúc thời gian hợp tác đầu tư, Công ty thực hiện trích lập dự phòng  3% trên tổng giá trị hợp đồng hợp tác đầu tư tại thời điểm 30/06/2012, số tiền là </w:t>
      </w:r>
      <w:r w:rsidRPr="0016122F">
        <w:rPr>
          <w:rFonts w:ascii="Times New Roman" w:hAnsi="Times New Roman" w:cs="Times New Roman"/>
          <w:b/>
          <w:bCs/>
          <w:sz w:val="26"/>
          <w:szCs w:val="26"/>
          <w:lang w:val="nl-NL"/>
        </w:rPr>
        <w:t>2.335.034.900</w:t>
      </w:r>
      <w:r w:rsidRPr="0016122F">
        <w:rPr>
          <w:rFonts w:ascii="Times New Roman" w:hAnsi="Times New Roman" w:cs="Times New Roman"/>
          <w:sz w:val="26"/>
          <w:szCs w:val="26"/>
          <w:lang w:val="nl-NL"/>
        </w:rPr>
        <w:t xml:space="preserve"> đồng hạch toán vào kết quả kinh doanh kỳ kế toán 6 tháng đầu năm 2012. Khoản dự phòng đang tạm trình bày trên chỉ tiêu 139 – Dự phòng phải thu ngắn hạn khó đòi trên Bảng Cân đối kế toán. </w:t>
      </w:r>
    </w:p>
    <w:p w:rsidR="00505924" w:rsidRPr="0016122F" w:rsidRDefault="00505924" w:rsidP="00946DC8">
      <w:pPr>
        <w:spacing w:before="120" w:after="120" w:line="360" w:lineRule="auto"/>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Khoản trích lập dự phòng này đang được ngoại trừ, do chưa đầy đủ cơ sở chứng minh cho số dư trích lập dự phòng nêu trên, cụ thể:</w:t>
      </w:r>
    </w:p>
    <w:p w:rsidR="00505924" w:rsidRPr="0016122F" w:rsidRDefault="00505924" w:rsidP="00142D97">
      <w:pPr>
        <w:spacing w:line="360" w:lineRule="auto"/>
        <w:ind w:firstLine="520"/>
        <w:jc w:val="both"/>
        <w:rPr>
          <w:rFonts w:ascii="Arial" w:hAnsi="Arial" w:cs="Arial"/>
          <w:sz w:val="26"/>
          <w:szCs w:val="26"/>
          <w:lang w:val="nl-NL"/>
        </w:rPr>
      </w:pPr>
      <w:r w:rsidRPr="0016122F">
        <w:rPr>
          <w:rFonts w:ascii="Times New Roman" w:hAnsi="Times New Roman" w:cs="Times New Roman"/>
          <w:sz w:val="26"/>
          <w:szCs w:val="26"/>
          <w:lang w:val="nl-NL"/>
        </w:rPr>
        <w:t xml:space="preserve">+ Tại thời điểm 30/06/2012, tổng số công nợ phải thu các nhà đầu tư là 77.834.496.667 đ. Trong đó, tổng số công nợ phải thu các nhà đầu tư bằng tiền (vốn chưa đầu tư) là 11.312.810.667 đ, tổng số công nợ phải thu tương ứng với số chứng </w:t>
      </w:r>
      <w:r w:rsidRPr="0016122F">
        <w:rPr>
          <w:rFonts w:ascii="Times New Roman" w:hAnsi="Times New Roman" w:cs="Times New Roman"/>
          <w:sz w:val="26"/>
          <w:szCs w:val="26"/>
          <w:lang w:val="nl-NL"/>
        </w:rPr>
        <w:lastRenderedPageBreak/>
        <w:t>khoán đã đầu tư  là 66.521.686.000 đ (tính theo giá trị tại thời điểm mua). Tính tại thời điểm 30/06/2012, các mã chứng khoán dự phòng lỗ (2.292.032.000) đ.</w:t>
      </w:r>
    </w:p>
    <w:p w:rsidR="00505924" w:rsidRPr="0016122F" w:rsidRDefault="00505924" w:rsidP="00142D97">
      <w:pPr>
        <w:spacing w:line="360" w:lineRule="auto"/>
        <w:ind w:firstLine="520"/>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 Ngoài ra, một số giao dịch mua bán về chứng khoán đầu tư đã thực hiện, tuy nhiên tại thời điểm hiện tại, Công ty Cổ phần Chứng khoán phố Wall và  các nhà đầu tư chưa tiến hành phân chia lãi lỗ của hoạt động hợp tác nêu trên để làm cơ sở hạch toán trong Báo cáo tài chính tại thời điểm 30/06/2012, mà theo đơn vị, hai bên sẽ tiến hành phân chia vào thời điểm cuối năm, khi lập Báo cao tài chính tại thời điểm 31/12/2012.</w:t>
      </w:r>
    </w:p>
    <w:p w:rsidR="00505924" w:rsidRPr="0016122F" w:rsidRDefault="00505924" w:rsidP="00142D97">
      <w:pPr>
        <w:spacing w:line="360" w:lineRule="auto"/>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ab/>
        <w:t>Để đảm bảo nguyên tắc thận trọng, toàn bộ số dư các hợp đồng hợp tác đầu tư đến thời điểm 30/06/2012 đang được trình bày trên chỉ tiêu 121 – Đầu tư ngắn hạn trên Cân đối kế toán đã được loại trừ khi tính vốn khả dụng (Trên chỉ tiêu III.5 - Các khoản phải thu khác thuộc Phần 1B – Tài sản ngắn hạn)</w:t>
      </w:r>
    </w:p>
    <w:p w:rsidR="00505924" w:rsidRPr="0016122F" w:rsidRDefault="00505924" w:rsidP="00142D97">
      <w:pPr>
        <w:spacing w:before="120" w:line="360" w:lineRule="auto"/>
        <w:ind w:firstLine="520"/>
        <w:jc w:val="both"/>
        <w:rPr>
          <w:rFonts w:ascii="Times New Roman" w:hAnsi="Times New Roman" w:cs="Times New Roman"/>
          <w:sz w:val="26"/>
          <w:szCs w:val="26"/>
          <w:lang w:val="nl-NL"/>
        </w:rPr>
      </w:pPr>
      <w:r w:rsidRPr="0016122F">
        <w:rPr>
          <w:rFonts w:ascii="Times New Roman" w:hAnsi="Times New Roman" w:cs="Times New Roman"/>
          <w:sz w:val="26"/>
          <w:szCs w:val="26"/>
          <w:lang w:val="nl-NL"/>
        </w:rPr>
        <w:t>Trên đây là toàn bộ số liệu của đơn vị xin giải trình với Ủy ban Chứng khoán Nhà nước.</w:t>
      </w:r>
    </w:p>
    <w:p w:rsidR="00505924" w:rsidRPr="0016122F" w:rsidRDefault="00505924" w:rsidP="00026996">
      <w:pPr>
        <w:spacing w:line="360" w:lineRule="auto"/>
        <w:ind w:firstLine="520"/>
        <w:rPr>
          <w:rFonts w:ascii="Times New Roman" w:hAnsi="Times New Roman" w:cs="Times New Roman"/>
          <w:b/>
          <w:bCs/>
          <w:i/>
          <w:iCs/>
          <w:sz w:val="26"/>
          <w:szCs w:val="26"/>
          <w:lang w:val="nl-NL"/>
        </w:rPr>
      </w:pPr>
      <w:r w:rsidRPr="0016122F">
        <w:rPr>
          <w:rFonts w:ascii="Times New Roman" w:hAnsi="Times New Roman" w:cs="Times New Roman"/>
          <w:b/>
          <w:bCs/>
          <w:i/>
          <w:iCs/>
          <w:sz w:val="26"/>
          <w:szCs w:val="26"/>
          <w:lang w:val="nl-NL"/>
        </w:rPr>
        <w:t>Trân trọng cảm ơn!</w:t>
      </w:r>
    </w:p>
    <w:p w:rsidR="00505924" w:rsidRPr="003D5953" w:rsidRDefault="00505924" w:rsidP="00026996">
      <w:pPr>
        <w:tabs>
          <w:tab w:val="right" w:pos="9360"/>
        </w:tabs>
        <w:spacing w:line="276" w:lineRule="auto"/>
        <w:jc w:val="both"/>
        <w:rPr>
          <w:rFonts w:ascii="Times New Roman" w:hAnsi="Times New Roman" w:cs="Times New Roman"/>
          <w:b/>
          <w:bCs/>
          <w:sz w:val="22"/>
          <w:szCs w:val="22"/>
          <w:u w:val="single"/>
          <w:lang w:val="nl-NL"/>
        </w:rPr>
      </w:pPr>
      <w:r w:rsidRPr="003D5953">
        <w:rPr>
          <w:rFonts w:ascii="Times New Roman" w:hAnsi="Times New Roman" w:cs="Times New Roman"/>
          <w:b/>
          <w:bCs/>
          <w:sz w:val="22"/>
          <w:szCs w:val="22"/>
          <w:u w:val="single"/>
          <w:lang w:val="nl-NL"/>
        </w:rPr>
        <w:t>Nơi nhận:</w:t>
      </w:r>
    </w:p>
    <w:p w:rsidR="00505924" w:rsidRPr="003D5953" w:rsidRDefault="00505924" w:rsidP="00026996">
      <w:pPr>
        <w:tabs>
          <w:tab w:val="right" w:pos="9360"/>
        </w:tabs>
        <w:spacing w:line="276" w:lineRule="auto"/>
        <w:jc w:val="both"/>
        <w:rPr>
          <w:rFonts w:ascii="Times New Roman" w:hAnsi="Times New Roman" w:cs="Times New Roman"/>
          <w:b/>
          <w:bCs/>
          <w:i/>
          <w:iCs/>
          <w:sz w:val="22"/>
          <w:szCs w:val="22"/>
          <w:u w:val="single"/>
          <w:lang w:val="nl-NL"/>
        </w:rPr>
      </w:pPr>
      <w:r w:rsidRPr="003D5953">
        <w:rPr>
          <w:rFonts w:ascii="Times New Roman" w:hAnsi="Times New Roman" w:cs="Times New Roman"/>
          <w:i/>
          <w:iCs/>
          <w:sz w:val="22"/>
          <w:szCs w:val="22"/>
          <w:lang w:val="nl-NL"/>
        </w:rPr>
        <w:t>- Như kính gửi;</w:t>
      </w:r>
    </w:p>
    <w:p w:rsidR="00505924" w:rsidRPr="003D5953" w:rsidRDefault="00505924" w:rsidP="00026996">
      <w:pPr>
        <w:tabs>
          <w:tab w:val="right" w:pos="9360"/>
        </w:tabs>
        <w:spacing w:line="276" w:lineRule="auto"/>
        <w:jc w:val="both"/>
        <w:rPr>
          <w:rFonts w:ascii="Times New Roman" w:hAnsi="Times New Roman" w:cs="Times New Roman"/>
          <w:i/>
          <w:iCs/>
          <w:sz w:val="22"/>
          <w:szCs w:val="22"/>
          <w:lang w:val="nl-NL"/>
        </w:rPr>
      </w:pPr>
      <w:r w:rsidRPr="003D5953">
        <w:rPr>
          <w:rFonts w:ascii="Times New Roman" w:hAnsi="Times New Roman" w:cs="Times New Roman"/>
          <w:i/>
          <w:iCs/>
          <w:sz w:val="22"/>
          <w:szCs w:val="22"/>
          <w:lang w:val="nl-NL"/>
        </w:rPr>
        <w:t>- Lưu VP, TCKT</w:t>
      </w:r>
    </w:p>
    <w:p w:rsidR="00505924" w:rsidRPr="003D5953" w:rsidRDefault="00505924" w:rsidP="00026996">
      <w:pPr>
        <w:tabs>
          <w:tab w:val="right" w:pos="9360"/>
        </w:tabs>
        <w:spacing w:line="276" w:lineRule="auto"/>
        <w:jc w:val="both"/>
        <w:rPr>
          <w:rFonts w:ascii="Times New Roman" w:hAnsi="Times New Roman" w:cs="Times New Roman"/>
          <w:i/>
          <w:iCs/>
          <w:sz w:val="22"/>
          <w:szCs w:val="22"/>
          <w:lang w:val="nl-NL"/>
        </w:rPr>
      </w:pPr>
      <w:r w:rsidRPr="003D5953">
        <w:rPr>
          <w:rFonts w:ascii="Times New Roman" w:hAnsi="Times New Roman" w:cs="Times New Roman"/>
          <w:i/>
          <w:iCs/>
          <w:sz w:val="22"/>
          <w:szCs w:val="22"/>
          <w:lang w:val="nl-NL"/>
        </w:rPr>
        <w:t>.</w:t>
      </w:r>
    </w:p>
    <w:tbl>
      <w:tblPr>
        <w:tblW w:w="10242" w:type="dxa"/>
        <w:tblInd w:w="-106" w:type="dxa"/>
        <w:tblLook w:val="00A0"/>
      </w:tblPr>
      <w:tblGrid>
        <w:gridCol w:w="6048"/>
        <w:gridCol w:w="4194"/>
      </w:tblGrid>
      <w:tr w:rsidR="00505924" w:rsidRPr="00E03C86" w:rsidTr="006F61EF">
        <w:tc>
          <w:tcPr>
            <w:tcW w:w="6048" w:type="dxa"/>
          </w:tcPr>
          <w:p w:rsidR="00505924" w:rsidRPr="00E03C86" w:rsidRDefault="00505924" w:rsidP="008E1701">
            <w:pPr>
              <w:tabs>
                <w:tab w:val="right" w:pos="9360"/>
              </w:tabs>
              <w:spacing w:line="276" w:lineRule="auto"/>
              <w:jc w:val="center"/>
              <w:rPr>
                <w:rFonts w:ascii="Times New Roman" w:hAnsi="Times New Roman" w:cs="Times New Roman"/>
                <w:b/>
                <w:bCs/>
                <w:sz w:val="22"/>
                <w:szCs w:val="22"/>
                <w:lang w:val="nl-NL"/>
              </w:rPr>
            </w:pPr>
            <w:r w:rsidRPr="00E03C86">
              <w:rPr>
                <w:rFonts w:ascii="Times New Roman" w:hAnsi="Times New Roman" w:cs="Times New Roman"/>
                <w:b/>
                <w:bCs/>
                <w:sz w:val="22"/>
                <w:szCs w:val="22"/>
                <w:lang w:val="nl-NL"/>
              </w:rPr>
              <w:t>XÁC NHẬN CỦA CÔNG TY TNHH DỊCH VỤ TƯ VẤN TÀI CHÍNH KẾ TOÁN VÀ KIỂM TOÁN (AASC)</w:t>
            </w:r>
          </w:p>
          <w:tbl>
            <w:tblPr>
              <w:tblW w:w="0" w:type="auto"/>
              <w:tblLook w:val="00A0"/>
            </w:tblPr>
            <w:tblGrid>
              <w:gridCol w:w="2683"/>
              <w:gridCol w:w="2684"/>
            </w:tblGrid>
            <w:tr w:rsidR="00505924" w:rsidRPr="00E03C86">
              <w:tc>
                <w:tcPr>
                  <w:tcW w:w="2683" w:type="dxa"/>
                </w:tcPr>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tc>
              <w:tc>
                <w:tcPr>
                  <w:tcW w:w="2684" w:type="dxa"/>
                </w:tcPr>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tc>
            </w:tr>
            <w:tr w:rsidR="00505924" w:rsidRPr="00E03C86">
              <w:tc>
                <w:tcPr>
                  <w:tcW w:w="2683" w:type="dxa"/>
                </w:tcPr>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tc>
              <w:tc>
                <w:tcPr>
                  <w:tcW w:w="2684" w:type="dxa"/>
                </w:tcPr>
                <w:p w:rsidR="00505924"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Default="00505924" w:rsidP="00E03C86">
                  <w:pPr>
                    <w:tabs>
                      <w:tab w:val="right" w:pos="9360"/>
                    </w:tabs>
                    <w:spacing w:before="120" w:line="276" w:lineRule="auto"/>
                    <w:jc w:val="center"/>
                    <w:rPr>
                      <w:rFonts w:ascii="Times New Roman" w:hAnsi="Times New Roman" w:cs="Times New Roman"/>
                      <w:b/>
                      <w:bCs/>
                      <w:sz w:val="22"/>
                      <w:szCs w:val="22"/>
                      <w:lang w:val="nl-NL"/>
                    </w:rPr>
                  </w:pPr>
                </w:p>
                <w:p w:rsidR="00505924" w:rsidRPr="00E03C86" w:rsidRDefault="00505924" w:rsidP="00E03C86">
                  <w:pPr>
                    <w:tabs>
                      <w:tab w:val="right" w:pos="9360"/>
                    </w:tabs>
                    <w:spacing w:before="120" w:line="276" w:lineRule="auto"/>
                    <w:jc w:val="center"/>
                    <w:rPr>
                      <w:rFonts w:ascii="Times New Roman" w:hAnsi="Times New Roman" w:cs="Times New Roman"/>
                      <w:b/>
                      <w:bCs/>
                      <w:sz w:val="22"/>
                      <w:szCs w:val="22"/>
                      <w:lang w:val="nl-NL"/>
                    </w:rPr>
                  </w:pPr>
                </w:p>
              </w:tc>
            </w:tr>
          </w:tbl>
          <w:p w:rsidR="00505924" w:rsidRPr="00E03C86" w:rsidRDefault="00505924" w:rsidP="00E03C86">
            <w:pPr>
              <w:tabs>
                <w:tab w:val="right" w:pos="9360"/>
              </w:tabs>
              <w:spacing w:line="276" w:lineRule="auto"/>
              <w:jc w:val="both"/>
              <w:rPr>
                <w:rFonts w:ascii="Times New Roman" w:hAnsi="Times New Roman" w:cs="Times New Roman"/>
                <w:sz w:val="22"/>
                <w:szCs w:val="22"/>
                <w:lang w:val="nl-NL"/>
              </w:rPr>
            </w:pPr>
          </w:p>
          <w:p w:rsidR="00505924" w:rsidRPr="00E03C86" w:rsidRDefault="00505924" w:rsidP="00E03C86">
            <w:pPr>
              <w:tabs>
                <w:tab w:val="right" w:pos="9360"/>
              </w:tabs>
              <w:spacing w:line="276" w:lineRule="auto"/>
              <w:jc w:val="both"/>
              <w:rPr>
                <w:rFonts w:ascii="Times New Roman" w:hAnsi="Times New Roman" w:cs="Times New Roman"/>
                <w:sz w:val="22"/>
                <w:szCs w:val="22"/>
                <w:lang w:val="nl-NL"/>
              </w:rPr>
            </w:pPr>
          </w:p>
          <w:p w:rsidR="00505924" w:rsidRPr="00E03C86" w:rsidRDefault="00505924" w:rsidP="00E03C86">
            <w:pPr>
              <w:tabs>
                <w:tab w:val="right" w:pos="9360"/>
              </w:tabs>
              <w:spacing w:line="276" w:lineRule="auto"/>
              <w:jc w:val="both"/>
              <w:rPr>
                <w:rFonts w:ascii="Times New Roman" w:hAnsi="Times New Roman" w:cs="Times New Roman"/>
                <w:i/>
                <w:iCs/>
                <w:sz w:val="22"/>
                <w:szCs w:val="22"/>
                <w:lang w:val="nl-NL"/>
              </w:rPr>
            </w:pPr>
          </w:p>
        </w:tc>
        <w:tc>
          <w:tcPr>
            <w:tcW w:w="4194" w:type="dxa"/>
          </w:tcPr>
          <w:p w:rsidR="00505924" w:rsidRDefault="00505924" w:rsidP="006955AF">
            <w:pPr>
              <w:tabs>
                <w:tab w:val="right" w:pos="9360"/>
              </w:tabs>
              <w:spacing w:line="276" w:lineRule="auto"/>
              <w:jc w:val="center"/>
              <w:rPr>
                <w:rFonts w:ascii="Times New Roman" w:hAnsi="Times New Roman" w:cs="Times New Roman"/>
                <w:b/>
                <w:bCs/>
                <w:sz w:val="22"/>
                <w:szCs w:val="22"/>
                <w:lang w:val="nl-NL"/>
              </w:rPr>
            </w:pPr>
            <w:r>
              <w:rPr>
                <w:rFonts w:ascii="Times New Roman" w:hAnsi="Times New Roman" w:cs="Times New Roman"/>
                <w:b/>
                <w:bCs/>
                <w:sz w:val="22"/>
                <w:szCs w:val="22"/>
                <w:lang w:val="nl-NL"/>
              </w:rPr>
              <w:t xml:space="preserve">CÔNG TY CỔ PHẦN </w:t>
            </w: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r>
              <w:rPr>
                <w:rFonts w:ascii="Times New Roman" w:hAnsi="Times New Roman" w:cs="Times New Roman"/>
                <w:b/>
                <w:bCs/>
                <w:sz w:val="22"/>
                <w:szCs w:val="22"/>
                <w:lang w:val="nl-NL"/>
              </w:rPr>
              <w:t>CHỨNG KHOÁN PHỐ WALL</w:t>
            </w: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r>
              <w:rPr>
                <w:rFonts w:ascii="Times New Roman" w:hAnsi="Times New Roman" w:cs="Times New Roman"/>
                <w:b/>
                <w:bCs/>
                <w:sz w:val="22"/>
                <w:szCs w:val="22"/>
                <w:lang w:val="nl-NL"/>
              </w:rPr>
              <w:t>PHÓ TỔNG GIÁM ĐỐC</w:t>
            </w: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p>
          <w:p w:rsidR="00505924" w:rsidRDefault="00505924" w:rsidP="006955AF">
            <w:pPr>
              <w:tabs>
                <w:tab w:val="right" w:pos="9360"/>
              </w:tabs>
              <w:spacing w:line="276" w:lineRule="auto"/>
              <w:jc w:val="center"/>
              <w:rPr>
                <w:rFonts w:ascii="Times New Roman" w:hAnsi="Times New Roman" w:cs="Times New Roman"/>
                <w:b/>
                <w:bCs/>
                <w:sz w:val="22"/>
                <w:szCs w:val="22"/>
                <w:lang w:val="nl-NL"/>
              </w:rPr>
            </w:pPr>
            <w:r>
              <w:rPr>
                <w:rFonts w:ascii="Times New Roman" w:hAnsi="Times New Roman" w:cs="Times New Roman"/>
                <w:b/>
                <w:bCs/>
                <w:sz w:val="22"/>
                <w:szCs w:val="22"/>
                <w:lang w:val="nl-NL"/>
              </w:rPr>
              <w:t>PHẠM ĐỨC LONG</w:t>
            </w:r>
          </w:p>
          <w:p w:rsidR="00505924" w:rsidRPr="00E03C86" w:rsidRDefault="00505924" w:rsidP="006955AF">
            <w:pPr>
              <w:tabs>
                <w:tab w:val="right" w:pos="9360"/>
              </w:tabs>
              <w:spacing w:line="276" w:lineRule="auto"/>
              <w:jc w:val="center"/>
              <w:rPr>
                <w:rFonts w:ascii="Times New Roman" w:hAnsi="Times New Roman" w:cs="Times New Roman"/>
                <w:b/>
                <w:bCs/>
                <w:sz w:val="22"/>
                <w:szCs w:val="22"/>
                <w:lang w:val="nl-NL"/>
              </w:rPr>
            </w:pPr>
          </w:p>
        </w:tc>
      </w:tr>
    </w:tbl>
    <w:p w:rsidR="00505924" w:rsidRDefault="00505924" w:rsidP="00026996">
      <w:pPr>
        <w:tabs>
          <w:tab w:val="right" w:pos="9360"/>
        </w:tabs>
        <w:spacing w:line="276" w:lineRule="auto"/>
        <w:jc w:val="both"/>
        <w:rPr>
          <w:rFonts w:ascii="Times New Roman" w:hAnsi="Times New Roman" w:cs="Times New Roman"/>
          <w:sz w:val="22"/>
          <w:szCs w:val="22"/>
          <w:lang w:val="nl-NL"/>
        </w:rPr>
      </w:pPr>
    </w:p>
    <w:sectPr w:rsidR="00505924" w:rsidSect="00101A5B">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6C" w:rsidRDefault="0035576C" w:rsidP="00C90504">
      <w:r>
        <w:separator/>
      </w:r>
    </w:p>
  </w:endnote>
  <w:endnote w:type="continuationSeparator" w:id="0">
    <w:p w:rsidR="0035576C" w:rsidRDefault="0035576C" w:rsidP="00C90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6C" w:rsidRDefault="0035576C">
    <w:pPr>
      <w:pStyle w:val="Footer"/>
      <w:jc w:val="center"/>
    </w:pPr>
  </w:p>
  <w:p w:rsidR="0035576C" w:rsidRDefault="00355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6C" w:rsidRDefault="0035576C" w:rsidP="00C90504">
      <w:r>
        <w:separator/>
      </w:r>
    </w:p>
  </w:footnote>
  <w:footnote w:type="continuationSeparator" w:id="0">
    <w:p w:rsidR="0035576C" w:rsidRDefault="0035576C" w:rsidP="00C90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5F21"/>
    <w:multiLevelType w:val="hybridMultilevel"/>
    <w:tmpl w:val="044E6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EB1475"/>
    <w:multiLevelType w:val="hybridMultilevel"/>
    <w:tmpl w:val="F1526C96"/>
    <w:lvl w:ilvl="0" w:tplc="265E480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8161D12"/>
    <w:multiLevelType w:val="hybridMultilevel"/>
    <w:tmpl w:val="AD5627C0"/>
    <w:lvl w:ilvl="0" w:tplc="7FE02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309B8"/>
    <w:multiLevelType w:val="hybridMultilevel"/>
    <w:tmpl w:val="1A629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26996"/>
    <w:rsid w:val="0000528E"/>
    <w:rsid w:val="00026996"/>
    <w:rsid w:val="000318B0"/>
    <w:rsid w:val="0007362B"/>
    <w:rsid w:val="000A11E6"/>
    <w:rsid w:val="000B1164"/>
    <w:rsid w:val="000E53E1"/>
    <w:rsid w:val="00101A5B"/>
    <w:rsid w:val="0010532C"/>
    <w:rsid w:val="00140DA7"/>
    <w:rsid w:val="00142D97"/>
    <w:rsid w:val="0016122F"/>
    <w:rsid w:val="001A1B7F"/>
    <w:rsid w:val="001A4413"/>
    <w:rsid w:val="00246C93"/>
    <w:rsid w:val="002472B4"/>
    <w:rsid w:val="002473CB"/>
    <w:rsid w:val="00255E43"/>
    <w:rsid w:val="002753EA"/>
    <w:rsid w:val="00281593"/>
    <w:rsid w:val="00290D0C"/>
    <w:rsid w:val="002A3DAA"/>
    <w:rsid w:val="002D56D1"/>
    <w:rsid w:val="00307E67"/>
    <w:rsid w:val="00315252"/>
    <w:rsid w:val="00331205"/>
    <w:rsid w:val="00334D8E"/>
    <w:rsid w:val="003518FD"/>
    <w:rsid w:val="0035576C"/>
    <w:rsid w:val="00367DC6"/>
    <w:rsid w:val="003A61CD"/>
    <w:rsid w:val="003D5953"/>
    <w:rsid w:val="004C23B2"/>
    <w:rsid w:val="004C298A"/>
    <w:rsid w:val="004C3FCF"/>
    <w:rsid w:val="004F3888"/>
    <w:rsid w:val="00505924"/>
    <w:rsid w:val="005342D5"/>
    <w:rsid w:val="00581E70"/>
    <w:rsid w:val="00660A47"/>
    <w:rsid w:val="006955AF"/>
    <w:rsid w:val="006C0ABE"/>
    <w:rsid w:val="006C7342"/>
    <w:rsid w:val="006E0916"/>
    <w:rsid w:val="006F61EF"/>
    <w:rsid w:val="00720B8A"/>
    <w:rsid w:val="00753A39"/>
    <w:rsid w:val="00756872"/>
    <w:rsid w:val="00776361"/>
    <w:rsid w:val="00786ABC"/>
    <w:rsid w:val="007C3962"/>
    <w:rsid w:val="007E0176"/>
    <w:rsid w:val="007F4858"/>
    <w:rsid w:val="007F607F"/>
    <w:rsid w:val="008039E9"/>
    <w:rsid w:val="00835364"/>
    <w:rsid w:val="00861B4F"/>
    <w:rsid w:val="00873012"/>
    <w:rsid w:val="008C3EC7"/>
    <w:rsid w:val="008D1398"/>
    <w:rsid w:val="008E1701"/>
    <w:rsid w:val="00920D86"/>
    <w:rsid w:val="00946DC8"/>
    <w:rsid w:val="00961499"/>
    <w:rsid w:val="009C338F"/>
    <w:rsid w:val="00AA01FE"/>
    <w:rsid w:val="00AA2B20"/>
    <w:rsid w:val="00AE1FE7"/>
    <w:rsid w:val="00B35C7A"/>
    <w:rsid w:val="00B42646"/>
    <w:rsid w:val="00B43167"/>
    <w:rsid w:val="00B53E46"/>
    <w:rsid w:val="00B728DD"/>
    <w:rsid w:val="00BD10A8"/>
    <w:rsid w:val="00C0646E"/>
    <w:rsid w:val="00C673B6"/>
    <w:rsid w:val="00C90504"/>
    <w:rsid w:val="00CC1F05"/>
    <w:rsid w:val="00CE0275"/>
    <w:rsid w:val="00CE6436"/>
    <w:rsid w:val="00D0383C"/>
    <w:rsid w:val="00D365F3"/>
    <w:rsid w:val="00D37C6C"/>
    <w:rsid w:val="00D868BB"/>
    <w:rsid w:val="00D87467"/>
    <w:rsid w:val="00DE0B93"/>
    <w:rsid w:val="00DF5369"/>
    <w:rsid w:val="00E03C86"/>
    <w:rsid w:val="00E22BBC"/>
    <w:rsid w:val="00E552A3"/>
    <w:rsid w:val="00E824B7"/>
    <w:rsid w:val="00E866BD"/>
    <w:rsid w:val="00E947D6"/>
    <w:rsid w:val="00EE2349"/>
    <w:rsid w:val="00F40248"/>
    <w:rsid w:val="00F65D08"/>
    <w:rsid w:val="00F70DE5"/>
    <w:rsid w:val="00F72DFE"/>
    <w:rsid w:val="00F72F90"/>
    <w:rsid w:val="00FC0763"/>
    <w:rsid w:val="00FC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96"/>
    <w:rPr>
      <w:rFonts w:ascii=".VnTime"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C90504"/>
  </w:style>
  <w:style w:type="paragraph" w:styleId="Header">
    <w:name w:val="header"/>
    <w:basedOn w:val="Normal"/>
    <w:link w:val="HeaderChar"/>
    <w:uiPriority w:val="99"/>
    <w:rsid w:val="00C90504"/>
    <w:pPr>
      <w:tabs>
        <w:tab w:val="center" w:pos="4680"/>
        <w:tab w:val="right" w:pos="9360"/>
      </w:tabs>
    </w:pPr>
  </w:style>
  <w:style w:type="character" w:customStyle="1" w:styleId="HeaderChar">
    <w:name w:val="Header Char"/>
    <w:basedOn w:val="DefaultParagraphFont"/>
    <w:link w:val="Header"/>
    <w:uiPriority w:val="99"/>
    <w:locked/>
    <w:rsid w:val="00C90504"/>
    <w:rPr>
      <w:rFonts w:ascii=".VnTime" w:hAnsi=".VnTime" w:cs=".VnTime"/>
      <w:sz w:val="28"/>
      <w:szCs w:val="28"/>
    </w:rPr>
  </w:style>
  <w:style w:type="paragraph" w:styleId="Footer">
    <w:name w:val="footer"/>
    <w:basedOn w:val="Normal"/>
    <w:link w:val="FooterChar"/>
    <w:uiPriority w:val="99"/>
    <w:rsid w:val="00C90504"/>
    <w:pPr>
      <w:tabs>
        <w:tab w:val="center" w:pos="4680"/>
        <w:tab w:val="right" w:pos="9360"/>
      </w:tabs>
    </w:pPr>
  </w:style>
  <w:style w:type="character" w:customStyle="1" w:styleId="FooterChar">
    <w:name w:val="Footer Char"/>
    <w:basedOn w:val="DefaultParagraphFont"/>
    <w:link w:val="Footer"/>
    <w:uiPriority w:val="99"/>
    <w:locked/>
    <w:rsid w:val="00C90504"/>
    <w:rPr>
      <w:rFonts w:ascii=".VnTime" w:hAnsi=".VnTime" w:cs=".VnTime"/>
      <w:sz w:val="28"/>
      <w:szCs w:val="28"/>
    </w:rPr>
  </w:style>
  <w:style w:type="table" w:styleId="TableGrid">
    <w:name w:val="Table Grid"/>
    <w:basedOn w:val="TableNormal"/>
    <w:uiPriority w:val="99"/>
    <w:rsid w:val="00367DC6"/>
    <w:rPr>
      <w:rFonts w:ascii=".VnTime" w:hAnsi=".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attl">
    <w:name w:val="otattl"/>
    <w:basedOn w:val="DefaultParagraphFont"/>
    <w:uiPriority w:val="99"/>
    <w:rsid w:val="00AA01FE"/>
  </w:style>
  <w:style w:type="paragraph" w:styleId="ListParagraph">
    <w:name w:val="List Paragraph"/>
    <w:basedOn w:val="Normal"/>
    <w:uiPriority w:val="34"/>
    <w:qFormat/>
    <w:rsid w:val="00161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689</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CÔNG TY CỔ PHẦN</vt:lpstr>
    </vt:vector>
  </TitlesOfParts>
  <Company>http://vinaghost.com</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Thanh An</dc:creator>
  <cp:lastModifiedBy>Tu VAN</cp:lastModifiedBy>
  <cp:revision>9</cp:revision>
  <cp:lastPrinted>2012-09-11T03:12:00Z</cp:lastPrinted>
  <dcterms:created xsi:type="dcterms:W3CDTF">2012-09-11T02:34:00Z</dcterms:created>
  <dcterms:modified xsi:type="dcterms:W3CDTF">2012-09-11T03:12:00Z</dcterms:modified>
</cp:coreProperties>
</file>